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33" w:rsidRPr="00FA3AB8" w:rsidRDefault="00AF18A3">
      <w:pPr>
        <w:spacing w:line="480" w:lineRule="auto"/>
        <w:jc w:val="center"/>
        <w:rPr>
          <w:rFonts w:ascii="方正大标宋简体" w:eastAsia="方正大标宋简体" w:hAnsi="微软雅黑" w:cs="微软雅黑"/>
          <w:sz w:val="44"/>
          <w:szCs w:val="44"/>
        </w:rPr>
      </w:pPr>
      <w:r w:rsidRPr="00FA3AB8">
        <w:rPr>
          <w:rFonts w:ascii="方正大标宋简体" w:eastAsia="方正大标宋简体" w:hAnsi="微软雅黑" w:cs="微软雅黑" w:hint="eastAsia"/>
          <w:sz w:val="44"/>
          <w:szCs w:val="44"/>
        </w:rPr>
        <w:t>简 报</w:t>
      </w:r>
    </w:p>
    <w:p w:rsidR="008C3533" w:rsidRPr="00D32131" w:rsidRDefault="00AF18A3">
      <w:pPr>
        <w:widowControl/>
        <w:spacing w:line="360" w:lineRule="auto"/>
        <w:jc w:val="center"/>
        <w:outlineLvl w:val="2"/>
        <w:rPr>
          <w:rFonts w:ascii="方正大标宋简体" w:eastAsia="方正大标宋简体" w:hAnsiTheme="minorEastAsia" w:cs="宋体"/>
          <w:b/>
          <w:color w:val="000000"/>
          <w:kern w:val="0"/>
          <w:sz w:val="28"/>
          <w:szCs w:val="24"/>
        </w:rPr>
      </w:pPr>
      <w:r w:rsidRPr="00D32131">
        <w:rPr>
          <w:rFonts w:ascii="方正大标宋简体" w:eastAsia="方正大标宋简体" w:hAnsi="微软雅黑" w:cs="微软雅黑" w:hint="eastAsia"/>
          <w:sz w:val="32"/>
          <w:szCs w:val="28"/>
        </w:rPr>
        <w:t>四川高等职业教育研究中心2016年科研立项课题揭晓</w:t>
      </w:r>
    </w:p>
    <w:p w:rsidR="008C3533" w:rsidRDefault="008C3533">
      <w:pPr>
        <w:widowControl/>
        <w:spacing w:line="360" w:lineRule="auto"/>
        <w:ind w:firstLineChars="200" w:firstLine="480"/>
        <w:jc w:val="left"/>
        <w:outlineLvl w:val="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C3533" w:rsidRDefault="00AF18A3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2016年5月24日，四川高等职业教育研究中心（以下简称“中心”）2016年科研课题立项评审工作会顺利结束。全省32所院校（其中本科院校6所）共申报课题121项。在经过前期的资格审核、查重以及网络盲评工作后，评审会对入围的课题进行了会议评审。</w:t>
      </w:r>
    </w:p>
    <w:p w:rsidR="008C3533" w:rsidRDefault="00AF18A3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课题立项评审由中心学术委员会主任委员唐朝纪教授主持，四川工程职业技术学院杨跃教授，成都工业学院陈传伟教授，四川师范大学范春林教授，四川交通职业技术学院魏庆曜教授，四川交通职业技术学院王永莲教授，四川旅游学院陈云川教授，成都航空职业技术学院陈玉华教授，绵阳职业技术学院肖争鸣教授，四川建筑职业技术学院胡兴福教授，四川大学锦城学院王亚利教授，四川传媒学院董孝壁教授，四川交通运输职业学校陈斌教授，中心秘书长贾玉铭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教授等专家学者参加了评审工作。与会委员以科学严谨的态度，从申报课题的学术性、可行性、应用推广前景等视角，对入围课题进行了公平、公正、公开的评审。</w:t>
      </w:r>
    </w:p>
    <w:p w:rsidR="008C3533" w:rsidRDefault="00AF18A3">
      <w:pPr>
        <w:spacing w:line="5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通过委员们的评议表决，本年度中心共立项课题45个，其中重点课题3个，专项课题20个，一般课题22个。立项结果待上报省教育厅审批后通过中心网站公示。</w:t>
      </w:r>
    </w:p>
    <w:p w:rsidR="008C3533" w:rsidRDefault="008C3533">
      <w:pPr>
        <w:widowControl/>
        <w:spacing w:line="360" w:lineRule="auto"/>
        <w:ind w:firstLineChars="200" w:firstLine="480"/>
        <w:jc w:val="left"/>
        <w:outlineLvl w:val="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C3533" w:rsidRDefault="00AF18A3" w:rsidP="00FA3AB8">
      <w:pPr>
        <w:spacing w:line="500" w:lineRule="exact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四川高等职业教育研究中心  魏会超  供稿</w:t>
      </w:r>
    </w:p>
    <w:p w:rsidR="008C3533" w:rsidRDefault="00AF18A3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     </w:t>
      </w:r>
      <w:r w:rsidR="00FA3AB8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二零一六年五月二十四日</w:t>
      </w:r>
    </w:p>
    <w:p w:rsidR="008C3533" w:rsidRDefault="008C3533">
      <w:pPr>
        <w:widowControl/>
        <w:spacing w:line="360" w:lineRule="auto"/>
        <w:ind w:firstLineChars="200" w:firstLine="480"/>
        <w:jc w:val="left"/>
        <w:outlineLvl w:val="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B7CB7" w:rsidRDefault="009B7CB7">
      <w:pPr>
        <w:widowControl/>
        <w:jc w:val="left"/>
      </w:pPr>
      <w:r>
        <w:br w:type="page"/>
      </w:r>
    </w:p>
    <w:p w:rsidR="009B7CB7" w:rsidRDefault="009B7CB7" w:rsidP="009B7CB7">
      <w:pPr>
        <w:rPr>
          <w:rFonts w:ascii="黑体" w:eastAsia="黑体" w:hAnsi="黑体"/>
          <w:sz w:val="28"/>
          <w:szCs w:val="28"/>
        </w:rPr>
      </w:pPr>
      <w:r w:rsidRPr="000B4A2F"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p w:rsidR="009B7CB7" w:rsidRDefault="009B7CB7" w:rsidP="009B7CB7">
      <w:pPr>
        <w:jc w:val="center"/>
        <w:rPr>
          <w:rFonts w:ascii="黑体" w:eastAsia="黑体" w:hAnsi="黑体"/>
          <w:sz w:val="28"/>
          <w:szCs w:val="28"/>
        </w:rPr>
      </w:pPr>
      <w:r w:rsidRPr="000B4A2F">
        <w:rPr>
          <w:rFonts w:ascii="黑体" w:eastAsia="黑体" w:hAnsi="黑体" w:hint="eastAsia"/>
          <w:sz w:val="28"/>
          <w:szCs w:val="28"/>
        </w:rPr>
        <w:t>四川高等职业教育研究中心201</w:t>
      </w:r>
      <w:r>
        <w:rPr>
          <w:rFonts w:ascii="黑体" w:eastAsia="黑体" w:hAnsi="黑体" w:hint="eastAsia"/>
          <w:sz w:val="28"/>
          <w:szCs w:val="28"/>
        </w:rPr>
        <w:t>6</w:t>
      </w:r>
      <w:r w:rsidRPr="000B4A2F">
        <w:rPr>
          <w:rFonts w:ascii="黑体" w:eastAsia="黑体" w:hAnsi="黑体" w:hint="eastAsia"/>
          <w:sz w:val="28"/>
          <w:szCs w:val="28"/>
        </w:rPr>
        <w:t>年度立项课题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427"/>
        <w:gridCol w:w="4039"/>
        <w:gridCol w:w="1953"/>
        <w:gridCol w:w="883"/>
        <w:gridCol w:w="1071"/>
      </w:tblGrid>
      <w:tr w:rsidR="009B7CB7" w:rsidRPr="00F2093B" w:rsidTr="00EE4638">
        <w:trPr>
          <w:trHeight w:val="49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412A22" w:rsidRDefault="009B7CB7" w:rsidP="00EE4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</w:t>
            </w:r>
            <w:r w:rsidRPr="00412A2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427" w:type="dxa"/>
            <w:vAlign w:val="center"/>
          </w:tcPr>
          <w:p w:rsidR="009B7CB7" w:rsidRPr="00412A22" w:rsidRDefault="009B7CB7" w:rsidP="00EE4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院校单位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71" w:type="dxa"/>
          </w:tcPr>
          <w:p w:rsidR="009B7CB7" w:rsidRDefault="009B7CB7" w:rsidP="00EE46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课题经费</w:t>
            </w:r>
          </w:p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</w:rPr>
              <w:t>（万）</w:t>
            </w:r>
          </w:p>
        </w:tc>
      </w:tr>
      <w:tr w:rsidR="009B7CB7" w:rsidRPr="00F2093B" w:rsidTr="00EE4638">
        <w:trPr>
          <w:trHeight w:val="60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GZY16A01</w:t>
            </w:r>
          </w:p>
        </w:tc>
        <w:tc>
          <w:tcPr>
            <w:tcW w:w="427" w:type="dxa"/>
            <w:vMerge w:val="restart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重点研究课题</w:t>
            </w: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章程时代高职院校内部治理结构完善途径研究——以眉山职业技术学院为例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眉山职业技术学院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邓惠明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9B7CB7" w:rsidRPr="00F2093B" w:rsidTr="00EE4638">
        <w:trPr>
          <w:trHeight w:val="55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GZY16A02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转型院校应用型本科专业建设（评估）标准研究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陈锦宣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9B7CB7" w:rsidRPr="00F2093B" w:rsidTr="00EE4638">
        <w:trPr>
          <w:trHeight w:val="96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GZY16A03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基于现代学徒制的物流管理专业产教融合研究与实践——以YCH-SVTCC协同培育物流管理人才为例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王煜洲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9B7CB7" w:rsidRPr="00F2093B" w:rsidTr="00EE4638">
        <w:trPr>
          <w:trHeight w:val="55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GZY16B04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 w:val="restart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专项研究课题</w:t>
            </w: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高等职业教育教师发展研究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绵阳职业教育研究中心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74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GZY16B05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移动互联网环境下高等职业院校信息化课堂教学交互的研究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牛  洁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2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GZY16B06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高职外科护理的互联网+数字资源建设与应用研究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乐山职业技术学院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蕾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20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GZY16B07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高端技能型创新人才培养模式研究——以机械制造类专业为例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绵阳职业技术学院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左明扬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274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GZY16B08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高职院校服务“互联网+三农”发展的路径研究与实践探索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南充职业技术学院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王怀禹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35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GZY16B09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职业院校数字资源建设与应用的研究与实践——以南充职业技术学院为例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南充职业技术学院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唐天国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3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GZY16B10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贫困山区教育精准脱贫实施途径研究——以泸州古蔺、叙永为例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四川化工职业技术学院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黄玉斌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359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GZY16B11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“工匠精神”理念下高职院校的艺术教育实施路径研究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侯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钫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15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GZY16B12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四川省民族地区涉农专业紧缺人才培养模式研究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成都农业科技职业学院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马济民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51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GZY16B13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现代学徒制推进的问题与策略研究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四川财经职业学院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肖兆飞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13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GZY16B14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护理专业中高职衔接课程体系构建-以基本护理技术为例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雅安职业技术学院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337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GZY16B15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基于电子军工人才培养质量标准体系研究与实践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四川信息职业技术学院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吴志毅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337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F2459">
              <w:rPr>
                <w:rFonts w:ascii="宋体" w:hAnsi="宋体" w:hint="eastAsia"/>
                <w:color w:val="000000"/>
                <w:szCs w:val="21"/>
              </w:rPr>
              <w:t>GZY16B16</w:t>
            </w:r>
          </w:p>
        </w:tc>
        <w:tc>
          <w:tcPr>
            <w:tcW w:w="427" w:type="dxa"/>
            <w:vMerge/>
          </w:tcPr>
          <w:p w:rsidR="009B7CB7" w:rsidRPr="009F2459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“创新驱动”视角下，商科高职院校创新创业技术技能型人才培养路径研究——以国际贸易类专业为例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四川商务职业学院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郑  欣</w:t>
            </w:r>
          </w:p>
        </w:tc>
        <w:tc>
          <w:tcPr>
            <w:tcW w:w="1071" w:type="dxa"/>
            <w:vAlign w:val="center"/>
          </w:tcPr>
          <w:p w:rsidR="009B7CB7" w:rsidRPr="009F2459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274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GZY16B17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高职教育“理实”一体化教学模式研究与实践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四川航天职业技术学院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君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9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GZY16B18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基于职业能力标准下的高职辅导员管理机制研究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谦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0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GZY16B19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五年制学前教育专业隐性分层教学的探究与应用——以专业方向课为例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四川幼儿师范高等专科学校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聪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0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GZY16B20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四川医药卫生类高职院校医教协同创新医学人才培养模式研究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四川中医药高等专科学校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商碧辉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142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GZY16B21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职业院校汽车制造与装配技术专业产教深度融合的研究与实践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徐生明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207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GZY16B22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基于旅游新业态的旅游产品策划营销课程教学改革研究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张世艳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2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GZY16B23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高职生在“互联网+”时代自适应学习模式研究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周春容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2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GZY16B24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基于巴哈大赛（BSC）的高职装备制造类专业创新应用型技术技能人才培养研究与实践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飚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428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GZY16B25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“1+3”高端技术技能型本科分段培养中高职院校学生管理策略研究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王蓉霞</w:t>
            </w:r>
          </w:p>
        </w:tc>
        <w:tc>
          <w:tcPr>
            <w:tcW w:w="1071" w:type="dxa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</w:t>
            </w:r>
          </w:p>
        </w:tc>
      </w:tr>
      <w:tr w:rsidR="009B7CB7" w:rsidRPr="00F2093B" w:rsidTr="00EE4638">
        <w:trPr>
          <w:trHeight w:val="96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GZY16C26</w:t>
            </w:r>
          </w:p>
        </w:tc>
        <w:tc>
          <w:tcPr>
            <w:tcW w:w="427" w:type="dxa"/>
            <w:vMerge w:val="restart"/>
            <w:vAlign w:val="center"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一般研究课题</w:t>
            </w: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基于“双导师制”的高职小学教育专业课程改革研究——以《小学语文课程教学论》为例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眉山职业技术学院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张雪艳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3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GZY16C27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高职院校新教师职业成长路径研究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洪德慧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3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GZY16C28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基于大数据时代下高职院校《建筑施工技术》课程资源数字化建设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绵阳职业技术学院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姚晓霞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03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GZY16C29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职业院校产教深度融合的实证研究——以老年服务与管理专业为例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四川国际标榜职业学院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红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03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GZY16C30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高职院校基于PBL理论的翻转课堂教学模式研究与实践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四川国际标榜职业学院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律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03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hint="eastAsia"/>
                <w:color w:val="000000"/>
                <w:szCs w:val="21"/>
              </w:rPr>
              <w:t>GZY16C31</w:t>
            </w:r>
          </w:p>
        </w:tc>
        <w:tc>
          <w:tcPr>
            <w:tcW w:w="427" w:type="dxa"/>
            <w:vMerge/>
          </w:tcPr>
          <w:p w:rsidR="009B7CB7" w:rsidRPr="009F2459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现代学徒制下的计算机网络技术专业人才培养模式研究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四川信息职业技术学院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王宏旭</w:t>
            </w:r>
          </w:p>
        </w:tc>
        <w:tc>
          <w:tcPr>
            <w:tcW w:w="1071" w:type="dxa"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96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GZY16C32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615AB4" w:rsidRDefault="009B7CB7" w:rsidP="00EE463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基于工作过程系统化的中高职衔接课程体系开发与实践——以药学专业《药物分析》课程为例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Default="009B7CB7" w:rsidP="00EE463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四川卫生康复职业学院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Default="009B7CB7" w:rsidP="00EE463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杰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62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GZY16C33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数字化背景下职业教育的教学资源管理研究——以某交职院为例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  彧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8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2459">
              <w:rPr>
                <w:rFonts w:ascii="宋体" w:hAnsi="宋体" w:hint="eastAsia"/>
                <w:color w:val="000000"/>
                <w:szCs w:val="21"/>
              </w:rPr>
              <w:t>GZY16C34</w:t>
            </w:r>
          </w:p>
        </w:tc>
        <w:tc>
          <w:tcPr>
            <w:tcW w:w="427" w:type="dxa"/>
            <w:vMerge/>
          </w:tcPr>
          <w:p w:rsidR="009B7CB7" w:rsidRPr="009F2459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9F2459" w:rsidRDefault="009B7CB7" w:rsidP="00EE463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F2459">
              <w:rPr>
                <w:rFonts w:hint="eastAsia"/>
                <w:color w:val="000000"/>
                <w:szCs w:val="21"/>
              </w:rPr>
              <w:t>民办高职院校内部治理体系完善与治理能力提升探析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F2459">
              <w:rPr>
                <w:rFonts w:hint="eastAsia"/>
                <w:color w:val="000000"/>
                <w:szCs w:val="21"/>
              </w:rPr>
              <w:t>四川现代职业学院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9F2459" w:rsidRDefault="009B7CB7" w:rsidP="00EE463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F2459"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9F2459">
              <w:rPr>
                <w:rFonts w:hint="eastAsia"/>
                <w:color w:val="000000"/>
                <w:szCs w:val="21"/>
              </w:rPr>
              <w:t>泓</w:t>
            </w:r>
          </w:p>
        </w:tc>
        <w:tc>
          <w:tcPr>
            <w:tcW w:w="1071" w:type="dxa"/>
          </w:tcPr>
          <w:p w:rsidR="009B7CB7" w:rsidRPr="009F2459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8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GZY16C35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高职院校教师入职资格制度及评价机制研究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乐山职业技术学院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舸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22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GZY16C36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现代学徒制视域下培育理工科高技能人才模式研究-以酿酒技术专业为例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泸州职业技术学院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进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96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GZY16C37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院企融合下对软件类课程的教学时效性及改革的研究---以四川航天学院数据库相关课程为例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四川航天职业技术学院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1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GZY16C38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基于社会保障视角的高职教师学术诚信保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障体系研究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西南医科大学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王海容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629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GZY16C39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后MOOC时代高职院校会计实训SPOC教学模式探索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黄娜娜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9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GZY16C40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高等职业教育英语教学质量评价研究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南充职业技术学院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诚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54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GZY16C41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基于云平台的“翻转课堂”教学模式在高职信息类课程教学中的实践与研究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娅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92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GZY16C42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西部地域性高职广告人才培养细分化研究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四川艺术职业学院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496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GZY16C43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高职学生创新创业项目管理平台建设研究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吉朝明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15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GZY16C44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职业教育集团化办学的理论构建与实践策略研究——以四川希望教育集团为例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四川希望汽车职业学院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彭彬秀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7CB7" w:rsidRPr="00F2093B" w:rsidTr="00EE4638">
        <w:trPr>
          <w:trHeight w:val="580"/>
          <w:jc w:val="center"/>
        </w:trPr>
        <w:tc>
          <w:tcPr>
            <w:tcW w:w="1266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GZY16C45</w:t>
            </w:r>
          </w:p>
        </w:tc>
        <w:tc>
          <w:tcPr>
            <w:tcW w:w="427" w:type="dxa"/>
            <w:vMerge/>
          </w:tcPr>
          <w:p w:rsidR="009B7CB7" w:rsidRPr="00F2093B" w:rsidRDefault="009B7CB7" w:rsidP="00EE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中高职衔接人才培养方案与课程体系改革研究与实践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四川汽车职业技术学院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093B">
              <w:rPr>
                <w:rFonts w:ascii="宋体" w:hAnsi="宋体" w:cs="宋体" w:hint="eastAsia"/>
                <w:color w:val="000000"/>
                <w:kern w:val="0"/>
                <w:szCs w:val="21"/>
              </w:rPr>
              <w:t>骏</w:t>
            </w:r>
          </w:p>
        </w:tc>
        <w:tc>
          <w:tcPr>
            <w:tcW w:w="1071" w:type="dxa"/>
          </w:tcPr>
          <w:p w:rsidR="009B7CB7" w:rsidRPr="00F2093B" w:rsidRDefault="009B7CB7" w:rsidP="00EE4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C3533" w:rsidRDefault="008C3533">
      <w:pPr>
        <w:ind w:firstLine="420"/>
      </w:pPr>
    </w:p>
    <w:sectPr w:rsidR="008C3533" w:rsidSect="008C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83" w:rsidRDefault="00622D83" w:rsidP="008C3533">
      <w:r>
        <w:separator/>
      </w:r>
    </w:p>
  </w:endnote>
  <w:endnote w:type="continuationSeparator" w:id="1">
    <w:p w:rsidR="00622D83" w:rsidRDefault="00622D83" w:rsidP="008C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83" w:rsidRDefault="00622D83" w:rsidP="008C3533">
      <w:r>
        <w:separator/>
      </w:r>
    </w:p>
  </w:footnote>
  <w:footnote w:type="continuationSeparator" w:id="1">
    <w:p w:rsidR="00622D83" w:rsidRDefault="00622D83" w:rsidP="008C3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770"/>
    <w:rsid w:val="000B415E"/>
    <w:rsid w:val="000D1A2F"/>
    <w:rsid w:val="001A401A"/>
    <w:rsid w:val="001C333A"/>
    <w:rsid w:val="00281715"/>
    <w:rsid w:val="00340A4A"/>
    <w:rsid w:val="0038314C"/>
    <w:rsid w:val="00394269"/>
    <w:rsid w:val="00403770"/>
    <w:rsid w:val="00492328"/>
    <w:rsid w:val="0052285C"/>
    <w:rsid w:val="00622D83"/>
    <w:rsid w:val="00643F4B"/>
    <w:rsid w:val="00675F2E"/>
    <w:rsid w:val="007D7162"/>
    <w:rsid w:val="008C3533"/>
    <w:rsid w:val="00943796"/>
    <w:rsid w:val="009B7CB7"/>
    <w:rsid w:val="00A34F98"/>
    <w:rsid w:val="00A40639"/>
    <w:rsid w:val="00A71E06"/>
    <w:rsid w:val="00A74F0D"/>
    <w:rsid w:val="00AD3298"/>
    <w:rsid w:val="00AD59DA"/>
    <w:rsid w:val="00AF18A3"/>
    <w:rsid w:val="00B4764C"/>
    <w:rsid w:val="00CE7B21"/>
    <w:rsid w:val="00D32131"/>
    <w:rsid w:val="00D84F60"/>
    <w:rsid w:val="00DA5833"/>
    <w:rsid w:val="00E70688"/>
    <w:rsid w:val="00FA3AB8"/>
    <w:rsid w:val="4101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C353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8C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C35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C35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C353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35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2016-05-26T01:40:00Z</dcterms:created>
  <dc:creator>Windows 用户</dc:creator>
  <lastModifiedBy>Windows 用户</lastModifiedBy>
  <lastPrinted>2016-05-26T01:40:00Z</lastPrinted>
  <dcterms:modified xsi:type="dcterms:W3CDTF">2016-05-31T03:31:00Z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